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4A9D" w14:textId="4E4D729F" w:rsidR="00CF2179" w:rsidRPr="00827839" w:rsidRDefault="002D729A" w:rsidP="00B133F9">
      <w:pPr>
        <w:rPr>
          <w:rFonts w:ascii="Metric Medium" w:hAnsi="Metric Medium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926DB" wp14:editId="0C331369">
            <wp:simplePos x="0" y="0"/>
            <wp:positionH relativeFrom="margin">
              <wp:posOffset>5822967</wp:posOffset>
            </wp:positionH>
            <wp:positionV relativeFrom="margin">
              <wp:align>top</wp:align>
            </wp:positionV>
            <wp:extent cx="1025508" cy="1114425"/>
            <wp:effectExtent l="0" t="0" r="381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0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5A6" w:rsidRPr="00827839">
        <w:rPr>
          <w:rFonts w:ascii="Metric Medium" w:hAnsi="Metric Medium"/>
          <w:sz w:val="36"/>
          <w:szCs w:val="36"/>
        </w:rPr>
        <w:t>Science On a Sphere – Educator Resource Guide</w:t>
      </w:r>
    </w:p>
    <w:p w14:paraId="359A8E47" w14:textId="4B72B99A" w:rsidR="004C55A6" w:rsidRPr="00827839" w:rsidRDefault="00323593" w:rsidP="00B133F9">
      <w:pPr>
        <w:rPr>
          <w:rFonts w:cstheme="minorHAnsi"/>
          <w:sz w:val="24"/>
          <w:szCs w:val="24"/>
        </w:rPr>
      </w:pPr>
      <w:r w:rsidRPr="00827839">
        <w:rPr>
          <w:rFonts w:cstheme="minorHAnsi"/>
          <w:b/>
          <w:bCs/>
          <w:sz w:val="28"/>
          <w:szCs w:val="28"/>
        </w:rPr>
        <w:t>Show Title</w:t>
      </w:r>
      <w:r w:rsidR="004C55A6" w:rsidRPr="00827839">
        <w:rPr>
          <w:rFonts w:cstheme="minorHAnsi"/>
          <w:b/>
          <w:bCs/>
          <w:sz w:val="28"/>
          <w:szCs w:val="28"/>
        </w:rPr>
        <w:t>:</w:t>
      </w:r>
      <w:r w:rsidR="004C55A6" w:rsidRPr="00827839">
        <w:rPr>
          <w:rFonts w:cstheme="minorHAnsi"/>
          <w:sz w:val="24"/>
          <w:szCs w:val="24"/>
        </w:rPr>
        <w:t xml:space="preserve"> </w:t>
      </w:r>
      <w:r w:rsidR="00E06F25">
        <w:rPr>
          <w:rFonts w:cstheme="minorHAnsi"/>
          <w:i/>
          <w:iCs/>
          <w:sz w:val="28"/>
          <w:szCs w:val="28"/>
        </w:rPr>
        <w:t>Earth Systems and Processes</w:t>
      </w:r>
      <w:r w:rsidR="002D729A" w:rsidRPr="002D729A">
        <w:t xml:space="preserve"> </w:t>
      </w:r>
    </w:p>
    <w:p w14:paraId="4CFDC0E7" w14:textId="45C02BA7" w:rsidR="00323593" w:rsidRPr="00544D36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Recommended Grade Range:</w:t>
      </w:r>
      <w:r w:rsidRPr="00544D36">
        <w:rPr>
          <w:rFonts w:cstheme="minorHAnsi"/>
          <w:sz w:val="28"/>
          <w:szCs w:val="28"/>
        </w:rPr>
        <w:t xml:space="preserve"> 5</w:t>
      </w:r>
      <w:r w:rsidRPr="00544D36">
        <w:rPr>
          <w:rFonts w:cstheme="minorHAnsi"/>
          <w:sz w:val="28"/>
          <w:szCs w:val="28"/>
          <w:vertAlign w:val="superscript"/>
        </w:rPr>
        <w:t>th</w:t>
      </w:r>
      <w:r w:rsidRPr="00544D36">
        <w:rPr>
          <w:rFonts w:cstheme="minorHAnsi"/>
          <w:sz w:val="28"/>
          <w:szCs w:val="28"/>
        </w:rPr>
        <w:t xml:space="preserve">, </w:t>
      </w:r>
      <w:r w:rsidR="00E06F25">
        <w:rPr>
          <w:rFonts w:cstheme="minorHAnsi"/>
          <w:sz w:val="28"/>
          <w:szCs w:val="28"/>
        </w:rPr>
        <w:t>7</w:t>
      </w:r>
      <w:r w:rsidRPr="00544D36">
        <w:rPr>
          <w:rFonts w:cstheme="minorHAnsi"/>
          <w:sz w:val="28"/>
          <w:szCs w:val="28"/>
          <w:vertAlign w:val="superscript"/>
        </w:rPr>
        <w:t>th</w:t>
      </w:r>
      <w:r w:rsidRPr="00544D36">
        <w:rPr>
          <w:rFonts w:cstheme="minorHAnsi"/>
          <w:sz w:val="28"/>
          <w:szCs w:val="28"/>
        </w:rPr>
        <w:t xml:space="preserve"> </w:t>
      </w:r>
    </w:p>
    <w:p w14:paraId="3793F01C" w14:textId="0F53806E" w:rsidR="00835B94" w:rsidRDefault="00323593" w:rsidP="00B133F9">
      <w:pPr>
        <w:rPr>
          <w:rFonts w:cstheme="minorHAnsi"/>
          <w:sz w:val="28"/>
          <w:szCs w:val="28"/>
        </w:rPr>
      </w:pPr>
      <w:r w:rsidRPr="00544D36">
        <w:rPr>
          <w:rFonts w:cstheme="minorHAnsi"/>
          <w:b/>
          <w:bCs/>
          <w:sz w:val="28"/>
          <w:szCs w:val="28"/>
        </w:rPr>
        <w:t>Presentation Time:</w:t>
      </w:r>
      <w:r w:rsidRPr="00544D36">
        <w:rPr>
          <w:rFonts w:cstheme="minorHAnsi"/>
          <w:sz w:val="28"/>
          <w:szCs w:val="28"/>
        </w:rPr>
        <w:t xml:space="preserve"> 20 minutes</w:t>
      </w:r>
    </w:p>
    <w:p w14:paraId="1172C76B" w14:textId="77777777" w:rsidR="00544D36" w:rsidRPr="00544D36" w:rsidRDefault="00544D36" w:rsidP="00544D3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835B94" w14:paraId="6B812270" w14:textId="77777777" w:rsidTr="008B27BE">
        <w:tc>
          <w:tcPr>
            <w:tcW w:w="1705" w:type="dxa"/>
            <w:shd w:val="clear" w:color="auto" w:fill="8EAADB" w:themeFill="accent1" w:themeFillTint="99"/>
          </w:tcPr>
          <w:p w14:paraId="41833321" w14:textId="77777777" w:rsidR="00835B94" w:rsidRDefault="00835B94" w:rsidP="00B133F9"/>
        </w:tc>
        <w:tc>
          <w:tcPr>
            <w:tcW w:w="9085" w:type="dxa"/>
            <w:shd w:val="clear" w:color="auto" w:fill="8EAADB" w:themeFill="accent1" w:themeFillTint="99"/>
          </w:tcPr>
          <w:p w14:paraId="614D3F45" w14:textId="7BC65D4F" w:rsidR="00835B94" w:rsidRPr="008B27BE" w:rsidRDefault="008B27BE" w:rsidP="008B27BE">
            <w:pPr>
              <w:jc w:val="center"/>
              <w:rPr>
                <w:b/>
                <w:bCs/>
              </w:rPr>
            </w:pPr>
            <w:proofErr w:type="spellStart"/>
            <w:r w:rsidRPr="008B27BE">
              <w:rPr>
                <w:b/>
                <w:bCs/>
                <w:color w:val="FFFFFF" w:themeColor="background1"/>
              </w:rPr>
              <w:t>SEEd</w:t>
            </w:r>
            <w:proofErr w:type="spellEnd"/>
            <w:r w:rsidRPr="008B27BE">
              <w:rPr>
                <w:b/>
                <w:bCs/>
                <w:color w:val="FFFFFF" w:themeColor="background1"/>
              </w:rPr>
              <w:t xml:space="preserve"> Standards Focus Alignment</w:t>
            </w:r>
          </w:p>
        </w:tc>
      </w:tr>
      <w:tr w:rsidR="00835B94" w14:paraId="0F4CA679" w14:textId="77777777" w:rsidTr="008B27BE">
        <w:tc>
          <w:tcPr>
            <w:tcW w:w="1705" w:type="dxa"/>
          </w:tcPr>
          <w:p w14:paraId="541323DD" w14:textId="3FAF6E57" w:rsidR="00835B94" w:rsidRDefault="008B27BE" w:rsidP="00B133F9">
            <w:r w:rsidRPr="00D648BE">
              <w:t>Standard 5.1.</w:t>
            </w:r>
            <w:r w:rsidR="00E06F25">
              <w:t>1</w:t>
            </w:r>
          </w:p>
        </w:tc>
        <w:tc>
          <w:tcPr>
            <w:tcW w:w="9085" w:type="dxa"/>
          </w:tcPr>
          <w:p w14:paraId="7D53B4D1" w14:textId="2AEED4DD" w:rsidR="00835B94" w:rsidRDefault="00E06F25" w:rsidP="00B133F9">
            <w:r>
              <w:t>Patterns of Earth’s features</w:t>
            </w:r>
            <w:r w:rsidR="008B27BE">
              <w:t>.</w:t>
            </w:r>
          </w:p>
        </w:tc>
      </w:tr>
      <w:tr w:rsidR="00835B94" w14:paraId="6568EBA5" w14:textId="77777777" w:rsidTr="008B27BE">
        <w:tc>
          <w:tcPr>
            <w:tcW w:w="1705" w:type="dxa"/>
          </w:tcPr>
          <w:p w14:paraId="0A9B1CD8" w14:textId="4BA5718C" w:rsidR="00835B94" w:rsidRDefault="008B27BE" w:rsidP="00B133F9">
            <w:r>
              <w:t xml:space="preserve">Standard </w:t>
            </w:r>
            <w:r w:rsidR="00E06F25">
              <w:t>5.1.4</w:t>
            </w:r>
          </w:p>
        </w:tc>
        <w:tc>
          <w:tcPr>
            <w:tcW w:w="9085" w:type="dxa"/>
          </w:tcPr>
          <w:p w14:paraId="7BAE3660" w14:textId="059D8A22" w:rsidR="00835B94" w:rsidRDefault="00E06F25" w:rsidP="00B133F9">
            <w:r>
              <w:t>Interactions between Earth’s systems including the geosphere, biosphere, hydrosphere, and/or atmosphere.</w:t>
            </w:r>
          </w:p>
        </w:tc>
      </w:tr>
      <w:tr w:rsidR="00835B94" w14:paraId="6C92B0E3" w14:textId="77777777" w:rsidTr="008B27BE">
        <w:tc>
          <w:tcPr>
            <w:tcW w:w="1705" w:type="dxa"/>
          </w:tcPr>
          <w:p w14:paraId="05251301" w14:textId="7E20AC63" w:rsidR="00835B94" w:rsidRDefault="008B27BE" w:rsidP="00B133F9">
            <w:r>
              <w:t xml:space="preserve">Standard </w:t>
            </w:r>
            <w:r w:rsidR="00E06F25">
              <w:t>7</w:t>
            </w:r>
            <w:r>
              <w:t>.</w:t>
            </w:r>
            <w:r w:rsidR="00E06F25">
              <w:t>2</w:t>
            </w:r>
            <w:r>
              <w:t>.</w:t>
            </w:r>
            <w:r w:rsidR="00E06F25">
              <w:t>1</w:t>
            </w:r>
          </w:p>
        </w:tc>
        <w:tc>
          <w:tcPr>
            <w:tcW w:w="9085" w:type="dxa"/>
          </w:tcPr>
          <w:p w14:paraId="7A56BCB7" w14:textId="41E90CEC" w:rsidR="00835B94" w:rsidRPr="00E06F25" w:rsidRDefault="00E06F25" w:rsidP="008B27BE">
            <w:pPr>
              <w:rPr>
                <w:rFonts w:cstheme="minorHAnsi"/>
              </w:rPr>
            </w:pPr>
            <w:r w:rsidRPr="00E06F25">
              <w:rPr>
                <w:rFonts w:cstheme="minorHAnsi"/>
                <w:color w:val="000000"/>
              </w:rPr>
              <w:t>Relationship between energy flow and matter cycling.</w:t>
            </w:r>
          </w:p>
        </w:tc>
      </w:tr>
      <w:tr w:rsidR="00E06F25" w14:paraId="6416388C" w14:textId="77777777" w:rsidTr="008B27BE">
        <w:tc>
          <w:tcPr>
            <w:tcW w:w="1705" w:type="dxa"/>
          </w:tcPr>
          <w:p w14:paraId="16FD02D3" w14:textId="671C263C" w:rsidR="00E06F25" w:rsidRDefault="00E06F25" w:rsidP="00B133F9">
            <w:r>
              <w:t>Standard 7.2.2</w:t>
            </w:r>
          </w:p>
        </w:tc>
        <w:tc>
          <w:tcPr>
            <w:tcW w:w="9085" w:type="dxa"/>
          </w:tcPr>
          <w:p w14:paraId="03621041" w14:textId="7FAF26D7" w:rsidR="00E06F25" w:rsidRPr="00E06F25" w:rsidRDefault="00E06F25" w:rsidP="008B27BE">
            <w:pPr>
              <w:rPr>
                <w:rFonts w:cstheme="minorHAnsi"/>
                <w:color w:val="000000"/>
              </w:rPr>
            </w:pPr>
            <w:r w:rsidRPr="00E06F25">
              <w:rPr>
                <w:rFonts w:cstheme="minorHAnsi"/>
                <w:color w:val="000000"/>
              </w:rPr>
              <w:t>Processes that change Earth’s s</w:t>
            </w:r>
            <w:r>
              <w:rPr>
                <w:rFonts w:cstheme="minorHAnsi"/>
                <w:color w:val="000000"/>
              </w:rPr>
              <w:t>urface over varying time and special scales.</w:t>
            </w:r>
          </w:p>
        </w:tc>
      </w:tr>
      <w:tr w:rsidR="00FA5839" w14:paraId="67FE0E2A" w14:textId="77777777" w:rsidTr="008B27BE">
        <w:tc>
          <w:tcPr>
            <w:tcW w:w="1705" w:type="dxa"/>
          </w:tcPr>
          <w:p w14:paraId="484245F2" w14:textId="0ED492E2" w:rsidR="00FA5839" w:rsidRDefault="00FA5839" w:rsidP="00B133F9">
            <w:r>
              <w:t>Standard 7.2.5</w:t>
            </w:r>
          </w:p>
        </w:tc>
        <w:tc>
          <w:tcPr>
            <w:tcW w:w="9085" w:type="dxa"/>
          </w:tcPr>
          <w:p w14:paraId="31821F78" w14:textId="65809862" w:rsidR="00FA5839" w:rsidRPr="00E06F25" w:rsidRDefault="00FA5839" w:rsidP="008B27B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</w:t>
            </w:r>
            <w:r w:rsidRPr="00FA5839">
              <w:rPr>
                <w:rFonts w:cstheme="minorHAnsi"/>
                <w:color w:val="000000"/>
              </w:rPr>
              <w:t>atterns between plate tectonics and the occurrence of earthquakes and volcanoes, continental and ocean floor features</w:t>
            </w:r>
            <w:r>
              <w:rPr>
                <w:rFonts w:cstheme="minorHAnsi"/>
                <w:color w:val="000000"/>
              </w:rPr>
              <w:t>.</w:t>
            </w:r>
          </w:p>
        </w:tc>
      </w:tr>
    </w:tbl>
    <w:p w14:paraId="2FE7EBEF" w14:textId="77777777" w:rsidR="008B27BE" w:rsidRDefault="008B27BE" w:rsidP="00827839">
      <w:pPr>
        <w:pStyle w:val="NoSpacing"/>
      </w:pPr>
    </w:p>
    <w:p w14:paraId="3709D5A9" w14:textId="6C23AE70" w:rsidR="00323593" w:rsidRPr="00827839" w:rsidRDefault="00323593" w:rsidP="00B133F9">
      <w:pPr>
        <w:rPr>
          <w:b/>
          <w:bCs/>
          <w:sz w:val="28"/>
          <w:szCs w:val="28"/>
        </w:rPr>
      </w:pPr>
      <w:r w:rsidRPr="00827839">
        <w:rPr>
          <w:b/>
          <w:bCs/>
          <w:sz w:val="28"/>
          <w:szCs w:val="28"/>
        </w:rPr>
        <w:t>Summary:</w:t>
      </w:r>
    </w:p>
    <w:p w14:paraId="2E51C012" w14:textId="56621843" w:rsidR="00323593" w:rsidRPr="00827839" w:rsidRDefault="00446568" w:rsidP="00B133F9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DB5EE3" w:rsidRPr="00DB5EE3">
        <w:rPr>
          <w:i/>
          <w:iCs/>
          <w:sz w:val="24"/>
          <w:szCs w:val="24"/>
        </w:rPr>
        <w:t>Earth Systems and Processes</w:t>
      </w:r>
      <w:r>
        <w:rPr>
          <w:sz w:val="24"/>
          <w:szCs w:val="24"/>
        </w:rPr>
        <w:t>”</w:t>
      </w:r>
      <w:r w:rsidR="00613EFD" w:rsidRPr="00827839">
        <w:rPr>
          <w:sz w:val="24"/>
          <w:szCs w:val="24"/>
        </w:rPr>
        <w:t xml:space="preserve"> is designed to supplement 5</w:t>
      </w:r>
      <w:r w:rsidR="00613EFD" w:rsidRPr="00827839">
        <w:rPr>
          <w:sz w:val="24"/>
          <w:szCs w:val="24"/>
          <w:vertAlign w:val="superscript"/>
        </w:rPr>
        <w:t>th</w:t>
      </w:r>
      <w:r w:rsidR="00613EFD" w:rsidRPr="00827839">
        <w:rPr>
          <w:sz w:val="24"/>
          <w:szCs w:val="24"/>
        </w:rPr>
        <w:t xml:space="preserve"> and </w:t>
      </w:r>
      <w:r w:rsidR="00DB5EE3">
        <w:rPr>
          <w:sz w:val="24"/>
          <w:szCs w:val="24"/>
        </w:rPr>
        <w:t>7</w:t>
      </w:r>
      <w:r w:rsidR="00613EFD" w:rsidRPr="00827839">
        <w:rPr>
          <w:sz w:val="24"/>
          <w:szCs w:val="24"/>
          <w:vertAlign w:val="superscript"/>
        </w:rPr>
        <w:t>th</w:t>
      </w:r>
      <w:r w:rsidR="00613EFD" w:rsidRPr="00827839">
        <w:rPr>
          <w:sz w:val="24"/>
          <w:szCs w:val="24"/>
        </w:rPr>
        <w:t xml:space="preserve"> grade standards </w:t>
      </w:r>
      <w:r w:rsidR="00B133F9" w:rsidRPr="00827839">
        <w:rPr>
          <w:sz w:val="24"/>
          <w:szCs w:val="24"/>
        </w:rPr>
        <w:t xml:space="preserve">regarding the characteristics and interactions of Earth’s systems and </w:t>
      </w:r>
      <w:r w:rsidR="00DB5EE3">
        <w:rPr>
          <w:sz w:val="24"/>
          <w:szCs w:val="24"/>
        </w:rPr>
        <w:t>changes to Earth over time</w:t>
      </w:r>
      <w:r w:rsidR="00B133F9" w:rsidRPr="00827839">
        <w:rPr>
          <w:sz w:val="24"/>
          <w:szCs w:val="24"/>
        </w:rPr>
        <w:t xml:space="preserve">. Students will observe </w:t>
      </w:r>
      <w:r w:rsidR="00DB5EE3">
        <w:rPr>
          <w:sz w:val="24"/>
          <w:szCs w:val="24"/>
        </w:rPr>
        <w:t xml:space="preserve">earthquakes found across the planet </w:t>
      </w:r>
      <w:r w:rsidR="00425FD2" w:rsidRPr="00827839">
        <w:rPr>
          <w:sz w:val="24"/>
          <w:szCs w:val="24"/>
        </w:rPr>
        <w:t xml:space="preserve">then </w:t>
      </w:r>
      <w:r w:rsidR="0090448B">
        <w:rPr>
          <w:sz w:val="24"/>
          <w:szCs w:val="24"/>
        </w:rPr>
        <w:t xml:space="preserve">observe </w:t>
      </w:r>
      <w:r w:rsidR="00FF232C">
        <w:rPr>
          <w:sz w:val="24"/>
          <w:szCs w:val="24"/>
        </w:rPr>
        <w:t>Earth</w:t>
      </w:r>
      <w:r w:rsidR="0090448B">
        <w:rPr>
          <w:sz w:val="24"/>
          <w:szCs w:val="24"/>
        </w:rPr>
        <w:t xml:space="preserve"> features to </w:t>
      </w:r>
      <w:r w:rsidR="00425FD2" w:rsidRPr="00827839">
        <w:rPr>
          <w:sz w:val="24"/>
          <w:szCs w:val="24"/>
        </w:rPr>
        <w:t xml:space="preserve">investigate </w:t>
      </w:r>
      <w:r w:rsidR="00DB5EE3">
        <w:rPr>
          <w:sz w:val="24"/>
          <w:szCs w:val="24"/>
        </w:rPr>
        <w:t>geologic processes</w:t>
      </w:r>
      <w:r w:rsidR="00425FD2" w:rsidRPr="00827839">
        <w:rPr>
          <w:sz w:val="24"/>
          <w:szCs w:val="24"/>
        </w:rPr>
        <w:t xml:space="preserve"> to explain </w:t>
      </w:r>
      <w:r w:rsidR="0090448B">
        <w:rPr>
          <w:sz w:val="24"/>
          <w:szCs w:val="24"/>
        </w:rPr>
        <w:t>these phenomena</w:t>
      </w:r>
      <w:r w:rsidR="00425FD2" w:rsidRPr="00827839">
        <w:rPr>
          <w:sz w:val="24"/>
          <w:szCs w:val="24"/>
        </w:rPr>
        <w:t xml:space="preserve">. </w:t>
      </w:r>
    </w:p>
    <w:p w14:paraId="4702F226" w14:textId="5E16EF81" w:rsidR="00835B94" w:rsidRPr="00544D36" w:rsidRDefault="00835B94" w:rsidP="00B133F9">
      <w:pPr>
        <w:rPr>
          <w:b/>
          <w:bCs/>
          <w:sz w:val="28"/>
          <w:szCs w:val="28"/>
        </w:rPr>
      </w:pPr>
      <w:r w:rsidRPr="00544D36">
        <w:rPr>
          <w:b/>
          <w:bCs/>
          <w:sz w:val="28"/>
          <w:szCs w:val="28"/>
        </w:rPr>
        <w:t>Data visualizations explored in this topic:</w:t>
      </w:r>
    </w:p>
    <w:p w14:paraId="2A3AB23F" w14:textId="7D6E96A5" w:rsidR="00835B94" w:rsidRPr="00827839" w:rsidRDefault="009104C1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6" w:history="1">
        <w:r w:rsidR="000903CB">
          <w:rPr>
            <w:rStyle w:val="Hyperlink"/>
            <w:sz w:val="24"/>
            <w:szCs w:val="24"/>
          </w:rPr>
          <w:t>Earthquakes - Real-time</w:t>
        </w:r>
      </w:hyperlink>
    </w:p>
    <w:p w14:paraId="5061FE94" w14:textId="3D61C3D9" w:rsidR="00835B94" w:rsidRPr="00827839" w:rsidRDefault="009104C1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7" w:history="1">
        <w:r w:rsidR="00BE13FB">
          <w:rPr>
            <w:rStyle w:val="Hyperlink"/>
            <w:sz w:val="24"/>
            <w:szCs w:val="24"/>
          </w:rPr>
          <w:t>Earth Topography and Bathymetry</w:t>
        </w:r>
      </w:hyperlink>
      <w:r w:rsidR="002D729A" w:rsidRPr="002D729A">
        <w:t xml:space="preserve"> </w:t>
      </w:r>
    </w:p>
    <w:p w14:paraId="097D652B" w14:textId="3C78910C" w:rsidR="00835B94" w:rsidRPr="00827839" w:rsidRDefault="009104C1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8" w:history="1">
        <w:r w:rsidR="00113232">
          <w:rPr>
            <w:rStyle w:val="Hyperlink"/>
            <w:sz w:val="24"/>
            <w:szCs w:val="24"/>
          </w:rPr>
          <w:t>Age of the Seafloor (topography)</w:t>
        </w:r>
      </w:hyperlink>
    </w:p>
    <w:p w14:paraId="1DA87F2A" w14:textId="52F4A5A9" w:rsidR="00835B94" w:rsidRPr="00827839" w:rsidRDefault="009104C1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9" w:history="1">
        <w:r w:rsidR="00113232">
          <w:rPr>
            <w:rStyle w:val="Hyperlink"/>
            <w:sz w:val="24"/>
            <w:szCs w:val="24"/>
          </w:rPr>
          <w:t>Volcano Locations</w:t>
        </w:r>
      </w:hyperlink>
    </w:p>
    <w:p w14:paraId="3A9BC33D" w14:textId="5908E142" w:rsidR="00835B94" w:rsidRPr="00827839" w:rsidRDefault="009104C1" w:rsidP="00835B94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0" w:history="1">
        <w:r w:rsidR="00DD234C">
          <w:rPr>
            <w:rStyle w:val="Hyperlink"/>
            <w:sz w:val="24"/>
            <w:szCs w:val="24"/>
          </w:rPr>
          <w:t>Volcano Eruptions: Causing Tsunamis - through 2010</w:t>
        </w:r>
      </w:hyperlink>
    </w:p>
    <w:p w14:paraId="339663A8" w14:textId="43B6BF18" w:rsidR="00323593" w:rsidRPr="00827839" w:rsidRDefault="00323593" w:rsidP="002D729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27839" w:rsidRPr="00F174A0" w14:paraId="719E8ACD" w14:textId="77777777" w:rsidTr="00827839">
        <w:tc>
          <w:tcPr>
            <w:tcW w:w="2155" w:type="dxa"/>
          </w:tcPr>
          <w:p w14:paraId="11543C46" w14:textId="12E3B418" w:rsidR="00827839" w:rsidRDefault="00827839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language used or introduced</w:t>
            </w:r>
          </w:p>
        </w:tc>
        <w:tc>
          <w:tcPr>
            <w:tcW w:w="8635" w:type="dxa"/>
          </w:tcPr>
          <w:p w14:paraId="6798F291" w14:textId="599B5317" w:rsidR="00827839" w:rsidRPr="00F174A0" w:rsidRDefault="00EB723E" w:rsidP="00B1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onvergent</w:t>
            </w:r>
            <w:r>
              <w:rPr>
                <w:sz w:val="24"/>
                <w:szCs w:val="24"/>
              </w:rPr>
              <w:t>,</w:t>
            </w:r>
            <w:r w:rsidRPr="00EB72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divergent</w:t>
            </w:r>
            <w:r>
              <w:rPr>
                <w:sz w:val="24"/>
                <w:szCs w:val="24"/>
              </w:rPr>
              <w:t>,</w:t>
            </w:r>
            <w:r w:rsidRPr="00EB723E">
              <w:rPr>
                <w:sz w:val="24"/>
                <w:szCs w:val="24"/>
              </w:rPr>
              <w:t xml:space="preserve"> </w:t>
            </w:r>
            <w:r w:rsidRPr="00EB723E">
              <w:rPr>
                <w:sz w:val="24"/>
                <w:szCs w:val="24"/>
              </w:rPr>
              <w:t>earthquakes, erode, erosion, faults, geological</w:t>
            </w:r>
            <w:r>
              <w:rPr>
                <w:sz w:val="24"/>
                <w:szCs w:val="24"/>
              </w:rPr>
              <w:t>, tectonic plates, transform</w:t>
            </w:r>
            <w:r w:rsidRPr="00EB723E">
              <w:rPr>
                <w:sz w:val="24"/>
                <w:szCs w:val="24"/>
              </w:rPr>
              <w:t xml:space="preserve"> </w:t>
            </w:r>
            <w:r w:rsidRPr="00EB723E">
              <w:rPr>
                <w:sz w:val="24"/>
                <w:szCs w:val="24"/>
              </w:rPr>
              <w:t>uplift, volcanoes, weathering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585DA89" w14:textId="77777777" w:rsidR="00333EFF" w:rsidRDefault="00333EFF" w:rsidP="00B133F9">
      <w:pPr>
        <w:rPr>
          <w:sz w:val="24"/>
          <w:szCs w:val="24"/>
        </w:rPr>
      </w:pPr>
    </w:p>
    <w:p w14:paraId="2850480B" w14:textId="0D1A2785" w:rsidR="000A1687" w:rsidRPr="00F174A0" w:rsidRDefault="00333EFF" w:rsidP="00B133F9">
      <w:pPr>
        <w:rPr>
          <w:sz w:val="24"/>
          <w:szCs w:val="24"/>
        </w:rPr>
      </w:pPr>
      <w:r w:rsidRPr="005A7BC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1FF322" wp14:editId="0857592A">
                <wp:simplePos x="0" y="0"/>
                <wp:positionH relativeFrom="column">
                  <wp:posOffset>2790825</wp:posOffset>
                </wp:positionH>
                <wp:positionV relativeFrom="paragraph">
                  <wp:posOffset>1785620</wp:posOffset>
                </wp:positionV>
                <wp:extent cx="194310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FB9C" w14:textId="7871264D" w:rsidR="005A7BC1" w:rsidRPr="005A7BC1" w:rsidRDefault="005A7BC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7BC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Science On a Sphere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F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140.6pt;width:153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" filled="f" stroked="f">
                <v:textbox>
                  <w:txbxContent>
                    <w:p w14:paraId="14A4FB9C" w14:textId="7871264D" w:rsidR="005A7BC1" w:rsidRPr="005A7BC1" w:rsidRDefault="005A7BC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7BC1">
                        <w:rPr>
                          <w:b/>
                          <w:bCs/>
                          <w:sz w:val="32"/>
                          <w:szCs w:val="32"/>
                        </w:rPr>
                        <w:t>Science On a Sphere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4B26">
        <w:rPr>
          <w:noProof/>
        </w:rPr>
        <w:drawing>
          <wp:anchor distT="0" distB="0" distL="114300" distR="114300" simplePos="0" relativeHeight="251665408" behindDoc="0" locked="0" layoutInCell="1" allowOverlap="1" wp14:anchorId="0652D1BD" wp14:editId="17BDB395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891030" cy="548640"/>
            <wp:effectExtent l="0" t="0" r="0" b="3810"/>
            <wp:wrapSquare wrapText="bothSides"/>
            <wp:docPr id="2" name="Picture 2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C1">
        <w:rPr>
          <w:noProof/>
        </w:rPr>
        <w:drawing>
          <wp:anchor distT="0" distB="0" distL="114300" distR="114300" simplePos="0" relativeHeight="251661312" behindDoc="0" locked="0" layoutInCell="1" allowOverlap="1" wp14:anchorId="6DB00AAD" wp14:editId="7BEDA14D">
            <wp:simplePos x="0" y="0"/>
            <wp:positionH relativeFrom="margin">
              <wp:posOffset>2305050</wp:posOffset>
            </wp:positionH>
            <wp:positionV relativeFrom="margin">
              <wp:posOffset>8480425</wp:posOffset>
            </wp:positionV>
            <wp:extent cx="494665" cy="478155"/>
            <wp:effectExtent l="0" t="0" r="635" b="0"/>
            <wp:wrapSquare wrapText="bothSides"/>
            <wp:docPr id="4" name="Picture 4" descr="What is SOS? - Science On a 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is SOS? - Science On a Sphe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C1">
        <w:rPr>
          <w:noProof/>
        </w:rPr>
        <w:drawing>
          <wp:anchor distT="0" distB="0" distL="114300" distR="114300" simplePos="0" relativeHeight="251660288" behindDoc="0" locked="0" layoutInCell="1" allowOverlap="1" wp14:anchorId="5D715B0E" wp14:editId="27F5629E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533525" cy="504190"/>
            <wp:effectExtent l="0" t="0" r="9525" b="0"/>
            <wp:wrapSquare wrapText="bothSides"/>
            <wp:docPr id="3" name="Picture 3" descr="noaa-logo – Geospati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aa-logo – Geospatial Institu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687" w:rsidRPr="00F174A0" w:rsidSect="00835B94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ic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144A"/>
    <w:multiLevelType w:val="hybridMultilevel"/>
    <w:tmpl w:val="81D4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E5E91"/>
    <w:multiLevelType w:val="hybridMultilevel"/>
    <w:tmpl w:val="D464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9CA"/>
    <w:multiLevelType w:val="hybridMultilevel"/>
    <w:tmpl w:val="06CC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7718"/>
    <w:multiLevelType w:val="hybridMultilevel"/>
    <w:tmpl w:val="62E8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6"/>
    <w:rsid w:val="000868EA"/>
    <w:rsid w:val="000903CB"/>
    <w:rsid w:val="000A1687"/>
    <w:rsid w:val="000D794B"/>
    <w:rsid w:val="00113232"/>
    <w:rsid w:val="00156398"/>
    <w:rsid w:val="00244B26"/>
    <w:rsid w:val="002D729A"/>
    <w:rsid w:val="00323593"/>
    <w:rsid w:val="00333EFF"/>
    <w:rsid w:val="00425FD2"/>
    <w:rsid w:val="00446568"/>
    <w:rsid w:val="004616E9"/>
    <w:rsid w:val="004C55A6"/>
    <w:rsid w:val="00544D36"/>
    <w:rsid w:val="005A7BC1"/>
    <w:rsid w:val="00613EFD"/>
    <w:rsid w:val="006A68F3"/>
    <w:rsid w:val="00827839"/>
    <w:rsid w:val="00835B94"/>
    <w:rsid w:val="008B27BE"/>
    <w:rsid w:val="0090448B"/>
    <w:rsid w:val="009104C1"/>
    <w:rsid w:val="00A73AB5"/>
    <w:rsid w:val="00A8471D"/>
    <w:rsid w:val="00B133F9"/>
    <w:rsid w:val="00BE13FB"/>
    <w:rsid w:val="00C16CF0"/>
    <w:rsid w:val="00CD187E"/>
    <w:rsid w:val="00CF2179"/>
    <w:rsid w:val="00D648BE"/>
    <w:rsid w:val="00DB5EE3"/>
    <w:rsid w:val="00DD234C"/>
    <w:rsid w:val="00E06F25"/>
    <w:rsid w:val="00EB723E"/>
    <w:rsid w:val="00F174A0"/>
    <w:rsid w:val="00FA5839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8B8D"/>
  <w15:chartTrackingRefBased/>
  <w15:docId w15:val="{ED8AFDC2-D8FE-4400-BDAA-12B4F74D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8BE"/>
    <w:pPr>
      <w:ind w:left="720"/>
      <w:contextualSpacing/>
    </w:pPr>
  </w:style>
  <w:style w:type="paragraph" w:styleId="NoSpacing">
    <w:name w:val="No Spacing"/>
    <w:uiPriority w:val="1"/>
    <w:qFormat/>
    <w:rsid w:val="00B133F9"/>
    <w:pPr>
      <w:spacing w:after="0" w:line="240" w:lineRule="auto"/>
    </w:pPr>
  </w:style>
  <w:style w:type="table" w:styleId="TableGrid">
    <w:name w:val="Table Grid"/>
    <w:basedOn w:val="TableNormal"/>
    <w:uiPriority w:val="39"/>
    <w:rsid w:val="0083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6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noaa.gov/catalog/datasets/age-of-the-seafloor-topography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sos.noaa.gov/catalog/datasets/etopo1-topography-and-bathymetry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.noaa.gov/catalog/datasets/earthquakes-real-time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os.noaa.gov/catalog/datasets/volcano-eruptions-causing-tsunamis-through-20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.noaa.gov/catalog/datasets/volcano-locati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Quayle</dc:creator>
  <cp:keywords/>
  <dc:description/>
  <cp:lastModifiedBy>Thomas Quayle</cp:lastModifiedBy>
  <cp:revision>10</cp:revision>
  <dcterms:created xsi:type="dcterms:W3CDTF">2021-08-31T14:22:00Z</dcterms:created>
  <dcterms:modified xsi:type="dcterms:W3CDTF">2021-09-01T19:23:00Z</dcterms:modified>
</cp:coreProperties>
</file>